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D55F6A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«29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5035F"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>303.6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>344.3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>040.7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соответствии с бюджетной классификацией  Российской Федерации со следующими показателями:</w:t>
      </w:r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6A353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8F7EA7" w:rsidRDefault="009E07B6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 муниципального образования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А.И.Минаев</w:t>
      </w:r>
    </w:p>
    <w:sectPr w:rsidR="00C116CA" w:rsidRPr="008F7EA7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CBA"/>
    <w:rsid w:val="000076EE"/>
    <w:rsid w:val="00133CA1"/>
    <w:rsid w:val="001673C3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562F0"/>
    <w:rsid w:val="008F7EA7"/>
    <w:rsid w:val="009C4DC4"/>
    <w:rsid w:val="009E07B6"/>
    <w:rsid w:val="00A05DEE"/>
    <w:rsid w:val="00B36D27"/>
    <w:rsid w:val="00C116CA"/>
    <w:rsid w:val="00C269F8"/>
    <w:rsid w:val="00C31CBA"/>
    <w:rsid w:val="00C67143"/>
    <w:rsid w:val="00D47760"/>
    <w:rsid w:val="00D5035F"/>
    <w:rsid w:val="00D55F6A"/>
    <w:rsid w:val="00E85E46"/>
    <w:rsid w:val="00F256DA"/>
    <w:rsid w:val="00F66504"/>
    <w:rsid w:val="00FE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16</cp:revision>
  <cp:lastPrinted>2014-07-29T13:23:00Z</cp:lastPrinted>
  <dcterms:created xsi:type="dcterms:W3CDTF">2013-05-27T06:02:00Z</dcterms:created>
  <dcterms:modified xsi:type="dcterms:W3CDTF">2014-07-29T13:23:00Z</dcterms:modified>
</cp:coreProperties>
</file>